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/>
          <w:color w:val="000000"/>
          <w:spacing w:val="-4"/>
          <w:kern w:val="0"/>
          <w:sz w:val="21"/>
          <w:szCs w:val="21"/>
          <w:lang w:val="en-US" w:eastAsia="zh-CN" w:bidi="ar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baseline"/>
        <w:rPr>
          <w:rFonts w:hint="default" w:ascii="Times New Roman" w:hAnsi="Times New Roman" w:cs="Times New Roman"/>
          <w:spacing w:val="-4"/>
          <w:lang w:val="en-US" w:eastAsia="zh-CN"/>
        </w:rPr>
      </w:pP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85" w:beforeLines="155" w:after="0" w:line="590" w:lineRule="exact"/>
        <w:ind w:left="0" w:leftChars="0" w:firstLine="0" w:firstLineChars="0"/>
        <w:textAlignment w:val="baseline"/>
        <w:rPr>
          <w:rFonts w:hint="default" w:ascii="Times New Roman" w:hAnsi="Times New Roman" w:cs="Times New Roman"/>
          <w:spacing w:val="-4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right="0" w:rightChars="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pacing w:val="-6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000000"/>
          <w:spacing w:val="-6"/>
          <w:sz w:val="44"/>
          <w:szCs w:val="44"/>
          <w:lang w:eastAsia="zh-CN"/>
        </w:rPr>
        <w:t>大英县商</w:t>
      </w:r>
      <w:r>
        <w:rPr>
          <w:rFonts w:hint="default" w:ascii="Times New Roman" w:hAnsi="Times New Roman" w:eastAsia="方正小标宋简体" w:cs="Times New Roman"/>
          <w:color w:val="000000"/>
          <w:spacing w:val="-6"/>
          <w:sz w:val="44"/>
          <w:szCs w:val="44"/>
          <w:highlight w:val="none"/>
          <w:lang w:eastAsia="zh-CN"/>
        </w:rPr>
        <w:t>务和经</w:t>
      </w:r>
      <w:r>
        <w:rPr>
          <w:rFonts w:hint="default" w:ascii="Times New Roman" w:hAnsi="Times New Roman" w:eastAsia="方正小标宋简体" w:cs="Times New Roman"/>
          <w:color w:val="000000"/>
          <w:spacing w:val="-6"/>
          <w:sz w:val="44"/>
          <w:szCs w:val="44"/>
          <w:lang w:eastAsia="zh-CN"/>
        </w:rPr>
        <w:t>济合作局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right="0" w:rightChars="0" w:firstLine="0"/>
        <w:jc w:val="center"/>
        <w:textAlignment w:val="auto"/>
        <w:rPr>
          <w:rFonts w:hint="default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pacing w:val="-6"/>
          <w:sz w:val="44"/>
          <w:szCs w:val="44"/>
          <w:lang w:val="en-US" w:eastAsia="zh-CN"/>
        </w:rPr>
        <w:t>关于</w:t>
      </w:r>
      <w:r>
        <w:rPr>
          <w:rFonts w:hint="eastAsia" w:ascii="Times New Roman" w:hAnsi="Times New Roman" w:eastAsia="方正小标宋简体"/>
          <w:spacing w:val="-6"/>
          <w:sz w:val="44"/>
          <w:szCs w:val="44"/>
          <w:lang w:val="en-US" w:eastAsia="zh-CN"/>
        </w:rPr>
        <w:t>项目支出绩效自评</w:t>
      </w:r>
      <w:r>
        <w:rPr>
          <w:rFonts w:hint="eastAsia" w:ascii="Times New Roman" w:hAnsi="Times New Roman" w:eastAsia="方正小标宋简体" w:cs="方正小标宋简体"/>
          <w:spacing w:val="-6"/>
          <w:sz w:val="44"/>
          <w:szCs w:val="44"/>
          <w:lang w:val="en-US" w:eastAsia="zh-CN"/>
        </w:rPr>
        <w:t>报</w:t>
      </w:r>
      <w:r>
        <w:rPr>
          <w:rFonts w:hint="default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  <w:t>告</w:t>
      </w:r>
    </w:p>
    <w:p>
      <w:pPr>
        <w:keepNext w:val="0"/>
        <w:keepLines w:val="0"/>
        <w:pageBreakBefore w:val="0"/>
        <w:widowControl w:val="0"/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/>
          <w:bCs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6"/>
          <w:sz w:val="32"/>
          <w:szCs w:val="32"/>
        </w:rPr>
        <w:t>（</w:t>
      </w:r>
      <w:r>
        <w:rPr>
          <w:rFonts w:hint="eastAsia" w:ascii="Times New Roman" w:hAnsi="Times New Roman" w:eastAsia="楷体_GB2312" w:cs="楷体_GB2312"/>
          <w:b/>
          <w:bCs/>
          <w:spacing w:val="-6"/>
          <w:sz w:val="32"/>
          <w:szCs w:val="32"/>
          <w:lang w:val="en-US" w:eastAsia="zh-CN"/>
        </w:rPr>
        <w:t>2022年入统企业及2023年统报人员补助资金</w:t>
      </w:r>
      <w:r>
        <w:rPr>
          <w:rFonts w:hint="eastAsia" w:ascii="Times New Roman" w:hAnsi="Times New Roman" w:eastAsia="楷体_GB2312" w:cs="楷体_GB2312"/>
          <w:b/>
          <w:bCs/>
          <w:spacing w:val="-6"/>
          <w:sz w:val="32"/>
          <w:szCs w:val="32"/>
        </w:rPr>
        <w:t>项目）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-6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firstLine="616" w:firstLineChars="200"/>
        <w:jc w:val="left"/>
        <w:textAlignment w:val="auto"/>
        <w:outlineLvl w:val="9"/>
        <w:rPr>
          <w:rFonts w:hint="eastAsia" w:ascii="Times New Roman" w:hAnsi="Times New Roman" w:cs="仿宋_GB2312"/>
          <w:b w:val="0"/>
          <w:bCs w:val="0"/>
          <w:spacing w:val="-6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pacing w:val="-6"/>
          <w:sz w:val="32"/>
          <w:szCs w:val="32"/>
          <w:lang w:val="en-US" w:eastAsia="zh-CN"/>
        </w:rPr>
        <w:t>一、</w:t>
      </w:r>
      <w:r>
        <w:rPr>
          <w:rFonts w:hint="eastAsia" w:ascii="Times New Roman" w:hAnsi="Times New Roman" w:eastAsia="黑体"/>
          <w:spacing w:val="-6"/>
          <w:sz w:val="32"/>
          <w:szCs w:val="32"/>
          <w:lang w:eastAsia="zh-CN"/>
        </w:rPr>
        <w:t>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firstLine="619" w:firstLineChars="200"/>
        <w:jc w:val="left"/>
        <w:textAlignment w:val="auto"/>
        <w:outlineLvl w:val="9"/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b/>
          <w:spacing w:val="-6"/>
          <w:sz w:val="32"/>
          <w:szCs w:val="32"/>
        </w:rPr>
        <w:t>（一）</w:t>
      </w:r>
      <w:r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eastAsia="zh-CN"/>
        </w:rPr>
        <w:t>项目概况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6" w:firstLineChars="200"/>
        <w:textAlignment w:val="auto"/>
        <w:rPr>
          <w:rFonts w:hint="eastAsia" w:ascii="Times New Roman" w:hAnsi="Times New Roman" w:eastAsia="仿宋_GB2312" w:cs="仿宋_GB2312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pacing w:val="-6"/>
          <w:kern w:val="2"/>
          <w:sz w:val="32"/>
          <w:szCs w:val="32"/>
          <w:shd w:val="clear" w:color="auto" w:fill="auto"/>
          <w:lang w:eastAsia="zh-CN" w:bidi="ar"/>
        </w:rPr>
        <w:t>为</w: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shd w:val="clear" w:color="auto" w:fill="auto"/>
          <w:lang w:val="en-US" w:eastAsia="zh-CN" w:bidi="ar"/>
        </w:rPr>
        <w:t>贯彻落实</w:t>
      </w:r>
      <w:r>
        <w:rPr>
          <w:rFonts w:hint="eastAsia" w:ascii="Times New Roman" w:hAnsi="Times New Roman" w:eastAsia="仿宋_GB2312" w:cs="仿宋_GB2312"/>
          <w:spacing w:val="-6"/>
          <w:kern w:val="2"/>
          <w:sz w:val="32"/>
          <w:szCs w:val="32"/>
          <w:lang w:val="en-US" w:eastAsia="zh-CN" w:bidi="ar-SA"/>
        </w:rPr>
        <w:t>《大英县人民政府关于印发&lt;大英县2022年稳住经济增长若干政策措施&gt;的通知》（大府发〔2022〕6号）和《大英县人民政府关于印发&lt;扶持商贸流通企业健康发展的十条惠企办法&gt;的通知》（大府办发〔2020〕11号）文件</w:t>
      </w:r>
      <w:bookmarkStart w:id="1" w:name="_GoBack"/>
      <w:bookmarkEnd w:id="1"/>
      <w:r>
        <w:rPr>
          <w:rFonts w:hint="eastAsia" w:ascii="Times New Roman" w:hAnsi="Times New Roman" w:eastAsia="仿宋_GB2312" w:cs="仿宋_GB2312"/>
          <w:spacing w:val="-6"/>
          <w:kern w:val="2"/>
          <w:sz w:val="32"/>
          <w:szCs w:val="32"/>
          <w:lang w:val="en-US" w:eastAsia="zh-CN" w:bidi="ar-SA"/>
        </w:rPr>
        <w:t>要求，对新入统企业、规上限上企业及规下限下抽样单位统报人员给予补助。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firstLine="619" w:firstLineChars="200"/>
        <w:jc w:val="left"/>
        <w:textAlignment w:val="auto"/>
        <w:outlineLvl w:val="9"/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  <w:t>（二）项目实施情况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firstLine="616" w:firstLineChars="200"/>
        <w:jc w:val="left"/>
        <w:textAlignment w:val="auto"/>
        <w:outlineLvl w:val="9"/>
        <w:rPr>
          <w:rFonts w:hint="eastAsia" w:ascii="Times New Roman" w:hAnsi="Times New Roman" w:eastAsia="仿宋_GB2312" w:cs="仿宋_GB2312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spacing w:val="-6"/>
          <w:kern w:val="2"/>
          <w:sz w:val="32"/>
          <w:szCs w:val="32"/>
          <w:lang w:val="en-US" w:eastAsia="zh-CN" w:bidi="ar-SA"/>
        </w:rPr>
        <w:t>按照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新增入统企业补助资金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万元/家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规上限上企业统报人员工作补助资金300元/月/人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限下抽样单位人员工作补助500元/季/家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，限下抽样单位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辅调员工作补助100元/季/单位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规下抽样单位人员工作补助100元/季/家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，分批次对入统企业及统报人员拨付补助资金</w:t>
      </w:r>
      <w:r>
        <w:rPr>
          <w:rFonts w:hint="eastAsia" w:ascii="Times New Roman" w:hAnsi="Times New Roman" w:eastAsia="仿宋_GB2312" w:cs="仿宋_GB2312"/>
          <w:spacing w:val="-6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firstLine="619" w:firstLineChars="200"/>
        <w:jc w:val="left"/>
        <w:textAlignment w:val="auto"/>
        <w:outlineLvl w:val="9"/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  <w:t>（三）资金投入使用情况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6" w:firstLineChars="200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sectPr>
          <w:pgSz w:w="11906" w:h="16838"/>
          <w:pgMar w:top="1928" w:right="1474" w:bottom="1928" w:left="1587" w:header="851" w:footer="992" w:gutter="0"/>
          <w:pgNumType w:fmt="decimal" w:start="2"/>
          <w:cols w:space="72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6" w:firstLineChars="200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2022年入统企业及2023年统报人员补助资金共计211.21万元，其中入统企业补助资金170万元、统报人员补助资金41.21万元。县财政实际预拨资金104.25万元，使用资金102.86万元，剩余资金1.39万元。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590" w:lineRule="exact"/>
        <w:ind w:left="0" w:firstLine="619" w:firstLineChars="200"/>
        <w:jc w:val="left"/>
        <w:textAlignment w:val="auto"/>
        <w:outlineLvl w:val="9"/>
        <w:rPr>
          <w:rFonts w:hint="eastAsia" w:ascii="Times New Roman" w:hAnsi="Times New Roman" w:eastAsia="楷体_GB2312" w:cs="Times New Roman"/>
          <w:b/>
          <w:spacing w:val="-6"/>
          <w:sz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  <w:t>（四）项目绩效目标</w:t>
      </w:r>
    </w:p>
    <w:tbl>
      <w:tblPr>
        <w:tblStyle w:val="12"/>
        <w:tblW w:w="87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1928"/>
        <w:gridCol w:w="2940"/>
        <w:gridCol w:w="23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-6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-6"/>
                <w:kern w:val="0"/>
                <w:sz w:val="28"/>
                <w:szCs w:val="28"/>
              </w:rPr>
              <w:t>一级指标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-6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-6"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-6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-6"/>
                <w:kern w:val="0"/>
                <w:sz w:val="28"/>
                <w:szCs w:val="28"/>
              </w:rPr>
              <w:t>三级指标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-6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-6"/>
                <w:kern w:val="0"/>
                <w:sz w:val="28"/>
                <w:szCs w:val="28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  <w:t>产出指标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 w:hanging="912" w:hangingChars="40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  <w:t>符合补助的企业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val="en-US" w:eastAsia="zh-CN"/>
              </w:rPr>
              <w:t>17家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 w:hanging="912" w:hangingChars="40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  <w:t>符合补助的统报人员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val="en-US" w:eastAsia="zh-CN"/>
              </w:rPr>
              <w:t>141人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 w:hanging="912" w:hangingChars="40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  <w:t>补助资金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发放准确率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=100%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 w:hanging="912" w:hangingChars="40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  <w:t>补助资金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发放及时率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=100%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center" w:pos="1364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 w:hanging="912" w:hangingChars="40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  <w:t>补助资金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发放成本控制数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val="en-US" w:eastAsia="zh-CN"/>
              </w:rPr>
              <w:t>211.21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  <w:t>效益指标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  <w:t>经济效益指标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 w:hanging="912" w:hangingChars="40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  <w:t>对经济发展贡献率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val="en-US" w:eastAsia="zh-CN"/>
              </w:rPr>
              <w:t>95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  <w:t>企业入统及统报人员主动参与率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val="en-US" w:eastAsia="zh-CN"/>
              </w:rPr>
              <w:t>98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  <w:t>满意度指标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  <w:t>企业及统报人员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90" w:lineRule="exact"/>
              <w:ind w:left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  <w:lang w:val="en-US" w:eastAsia="zh-CN"/>
              </w:rPr>
              <w:t>98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szCs w:val="24"/>
              </w:rPr>
              <w:t>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590" w:lineRule="exact"/>
        <w:ind w:left="0" w:firstLine="616" w:firstLineChars="200"/>
        <w:textAlignment w:val="auto"/>
        <w:outlineLvl w:val="9"/>
        <w:rPr>
          <w:rFonts w:hint="eastAsia" w:ascii="Times New Roman" w:hAnsi="Times New Roman" w:eastAsia="仿宋_GB2312"/>
          <w:spacing w:val="-6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spacing w:val="-6"/>
          <w:sz w:val="32"/>
          <w:szCs w:val="32"/>
          <w:lang w:eastAsia="zh-CN"/>
        </w:rPr>
        <w:t>二、评价工作开展情况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firstLine="619" w:firstLineChars="200"/>
        <w:jc w:val="left"/>
        <w:textAlignment w:val="auto"/>
        <w:outlineLvl w:val="9"/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</w:pPr>
      <w:bookmarkStart w:id="0" w:name="bookmark8"/>
      <w:bookmarkEnd w:id="0"/>
      <w:r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  <w:t>（一）评价工作流程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6" w:firstLineChars="200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评价工作过程主要包括前期准备、组织实施、分析评价、撰写评价报告4个阶段。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9" w:firstLineChars="200"/>
        <w:textAlignment w:val="auto"/>
        <w:rPr>
          <w:rFonts w:hint="eastAsia" w:ascii="Times New Roman" w:hAnsi="Times New Roman" w:eastAsia="仿宋_GB2312" w:cs="仿宋_GB2312"/>
          <w:b/>
          <w:bCs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spacing w:val="-6"/>
          <w:sz w:val="32"/>
          <w:szCs w:val="32"/>
          <w:lang w:val="en-US" w:eastAsia="zh-CN"/>
        </w:rPr>
        <w:t>1.前期准备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6" w:firstLineChars="200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单位对评价项目进行安排实施，业务人员梳理评价项目，根据项目绩效支出开展自评工作。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9" w:firstLineChars="200"/>
        <w:textAlignment w:val="auto"/>
        <w:rPr>
          <w:rFonts w:hint="eastAsia" w:ascii="Times New Roman" w:hAnsi="Times New Roman" w:eastAsia="仿宋_GB2312" w:cs="仿宋_GB2312"/>
          <w:b/>
          <w:bCs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spacing w:val="-6"/>
          <w:sz w:val="32"/>
          <w:szCs w:val="32"/>
          <w:lang w:val="en-US" w:eastAsia="zh-CN"/>
        </w:rPr>
        <w:t>2.组织实施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6" w:firstLineChars="200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对项目的基础数据和相关资料进行核实和全面分析。主要工作包括听取情况介绍、数据采集、资料审核和分析、完成评价工作底稿等。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9" w:firstLineChars="200"/>
        <w:textAlignment w:val="auto"/>
        <w:rPr>
          <w:rFonts w:hint="eastAsia" w:ascii="Times New Roman" w:hAnsi="Times New Roman" w:eastAsia="仿宋_GB2312" w:cs="仿宋_GB2312"/>
          <w:b/>
          <w:bCs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spacing w:val="-6"/>
          <w:sz w:val="32"/>
          <w:szCs w:val="32"/>
          <w:lang w:val="en-US" w:eastAsia="zh-CN"/>
        </w:rPr>
        <w:t>3.分析评价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6" w:firstLineChars="200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汇总整理绩效评价工作底稿、实施评价指标分析、形成绩效评价问题清单、形成绩效评价结果。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9" w:firstLineChars="200"/>
        <w:textAlignment w:val="auto"/>
        <w:rPr>
          <w:rFonts w:hint="eastAsia" w:ascii="Times New Roman" w:hAnsi="Times New Roman" w:eastAsia="仿宋_GB2312" w:cs="仿宋_GB2312"/>
          <w:b/>
          <w:bCs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spacing w:val="-6"/>
          <w:sz w:val="32"/>
          <w:szCs w:val="32"/>
          <w:lang w:val="en-US" w:eastAsia="zh-CN"/>
        </w:rPr>
        <w:t>4.撰写评价报告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6" w:firstLineChars="200"/>
        <w:textAlignment w:val="auto"/>
        <w:rPr>
          <w:rFonts w:hint="eastAsia" w:ascii="Times New Roman" w:hAnsi="Times New Roman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在经过数据采集、核实确认以及分析评价后，按照规定要求和文本格式撰写自评报告。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firstLine="619" w:firstLineChars="200"/>
        <w:jc w:val="left"/>
        <w:textAlignment w:val="auto"/>
        <w:outlineLvl w:val="9"/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  <w:t>（二）评价指标体系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6" w:firstLineChars="200"/>
        <w:textAlignment w:val="auto"/>
        <w:rPr>
          <w:rFonts w:hint="eastAsia" w:ascii="Times New Roman" w:hAnsi="Times New Roman" w:eastAsia="仿宋_GB2312" w:cs="仿宋_GB2312"/>
          <w:b w:val="0"/>
          <w:bCs w:val="0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根据《大英县财政局关于开展2024年度部门、项目、政策支出绩效自评工作的通知》(大财发〔2024〕87号)中的2024年县级项目支出绩效评价指标体系。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firstLine="619" w:firstLineChars="200"/>
        <w:jc w:val="left"/>
        <w:textAlignment w:val="auto"/>
        <w:outlineLvl w:val="9"/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  <w:t>（三）评价方法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firstLine="616" w:firstLineChars="200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本项目绩效评价方法选用比较法、因素分析法。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6"/>
          <w:sz w:val="32"/>
          <w:szCs w:val="32"/>
          <w14:textFill>
            <w14:solidFill>
              <w14:schemeClr w14:val="tx1"/>
            </w14:solidFill>
          </w14:textFill>
        </w:rPr>
        <w:t>本次绩效评价采用百分制，各级指标依据其指标权重确定分值，最终得分由各级评价指标得分加总形成。根据最终得分将评价标准分为四个等级:优(得分≥90分);良(80分s得分&lt;90分);中(60≤得分&lt;80分);差(得分&lt;60分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firstLine="616" w:firstLineChars="200"/>
        <w:textAlignment w:val="auto"/>
        <w:outlineLvl w:val="9"/>
        <w:rPr>
          <w:rFonts w:hint="eastAsia" w:ascii="Times New Roman" w:hAnsi="Times New Roman" w:eastAsia="黑体"/>
          <w:spacing w:val="-6"/>
          <w:sz w:val="32"/>
          <w:szCs w:val="32"/>
        </w:rPr>
      </w:pPr>
      <w:r>
        <w:rPr>
          <w:rFonts w:hint="eastAsia" w:ascii="Times New Roman" w:hAnsi="Times New Roman" w:eastAsia="黑体"/>
          <w:spacing w:val="-6"/>
          <w:sz w:val="32"/>
          <w:szCs w:val="32"/>
          <w:lang w:val="en-US" w:eastAsia="zh-CN"/>
        </w:rPr>
        <w:t>三、</w:t>
      </w:r>
      <w:r>
        <w:rPr>
          <w:rFonts w:hint="eastAsia" w:ascii="Times New Roman" w:hAnsi="Times New Roman" w:eastAsia="黑体"/>
          <w:spacing w:val="-6"/>
          <w:sz w:val="32"/>
          <w:szCs w:val="32"/>
          <w:lang w:eastAsia="zh-CN"/>
        </w:rPr>
        <w:t>综合</w:t>
      </w:r>
      <w:r>
        <w:rPr>
          <w:rFonts w:hint="eastAsia" w:ascii="Times New Roman" w:hAnsi="Times New Roman" w:eastAsia="黑体"/>
          <w:spacing w:val="-6"/>
          <w:sz w:val="32"/>
          <w:szCs w:val="32"/>
        </w:rPr>
        <w:t>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6" w:firstLineChars="200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通过对2022年入统企业及2023年统报人员补助资金相关资料审核，根据项目支出绩效评价指标体系标准，确定该项目支出绩效自评结果为“优”。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firstLine="616" w:firstLineChars="200"/>
        <w:textAlignment w:val="auto"/>
        <w:outlineLvl w:val="9"/>
        <w:rPr>
          <w:rFonts w:hint="eastAsia" w:ascii="Times New Roman" w:hAnsi="Times New Roman" w:eastAsia="黑体" w:cs="黑体"/>
          <w:b w:val="0"/>
          <w:bCs/>
          <w:spacing w:val="-6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 w:val="0"/>
          <w:bCs/>
          <w:spacing w:val="-6"/>
          <w:sz w:val="32"/>
          <w:szCs w:val="32"/>
          <w:lang w:eastAsia="zh-CN"/>
        </w:rPr>
        <w:t>四、绩效评价分析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9" w:firstLineChars="200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6"/>
          <w:sz w:val="32"/>
          <w:szCs w:val="32"/>
          <w:lang w:eastAsia="zh-CN"/>
        </w:rPr>
        <w:t>（一）项目决策情况。</w:t>
      </w:r>
      <w:r>
        <w:rPr>
          <w:rFonts w:hint="eastAsia" w:ascii="Times New Roman" w:hAnsi="Times New Roman" w:eastAsia="仿宋_GB2312" w:cs="仿宋_GB2312"/>
          <w:spacing w:val="-6"/>
          <w:kern w:val="2"/>
          <w:sz w:val="32"/>
          <w:szCs w:val="32"/>
          <w:shd w:val="clear" w:color="auto" w:fill="auto"/>
          <w:lang w:val="en-US" w:eastAsia="zh-CN" w:bidi="ar"/>
        </w:rPr>
        <w:t>贯彻落实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《大英县人民政府关于印发&lt;大英县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2022年稳住经济增长若干政策措施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&gt;的通知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》（大府发〔2022〕6号）和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《大英县人民政府关于印发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&lt;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扶持商贸流通企业健康发展的十条惠企办法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&gt;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的通知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》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（大府办发〔2020〕11号）</w:t>
      </w:r>
      <w:r>
        <w:rPr>
          <w:rFonts w:hint="eastAsia" w:ascii="Times New Roman" w:hAnsi="Times New Roman" w:eastAsia="仿宋_GB2312" w:cs="仿宋_GB2312"/>
          <w:spacing w:val="-6"/>
          <w:kern w:val="2"/>
          <w:sz w:val="32"/>
          <w:szCs w:val="32"/>
          <w:shd w:val="clear" w:color="auto" w:fill="auto"/>
          <w:lang w:val="en-US" w:eastAsia="zh-CN" w:bidi="ar"/>
        </w:rPr>
        <w:t>文件精神</w:t>
      </w:r>
      <w:r>
        <w:rPr>
          <w:rFonts w:hint="eastAsia" w:ascii="Times New Roman" w:hAnsi="Times New Roman" w:eastAsia="仿宋_GB2312" w:cs="仿宋_GB2312"/>
          <w:spacing w:val="-6"/>
          <w:kern w:val="2"/>
          <w:sz w:val="32"/>
          <w:szCs w:val="32"/>
          <w:shd w:val="clear" w:color="auto" w:fill="auto"/>
          <w:lang w:eastAsia="zh-CN" w:bidi="ar"/>
        </w:rPr>
        <w:t>，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有力有效推动企业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升规入统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，激发企业统报人员的工作热情，切实推进我县社消零、服务业增加值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经济指标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提档升位，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推动县域经济发展。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firstLine="619" w:firstLineChars="200"/>
        <w:textAlignment w:val="auto"/>
        <w:outlineLvl w:val="9"/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6"/>
          <w:sz w:val="32"/>
          <w:szCs w:val="32"/>
          <w:lang w:eastAsia="zh-CN"/>
        </w:rPr>
        <w:t>（二）项目管理情况。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为规范2022年入统企业及2023年统报人员补助资金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项目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管理，提高专项资金使用效益，制定了项目资金管理制度，合理规范使用项目资金，促使财政资金作用效益最大化。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9" w:firstLineChars="200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6"/>
          <w:sz w:val="32"/>
          <w:szCs w:val="32"/>
          <w:lang w:eastAsia="zh-CN"/>
        </w:rPr>
        <w:t>（三）项目产出情况。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明确补助入统企业及统报人员数量，对企业更换统报人员的及时调整补助资金支付对象，确保精准拨付统报人员补助资金。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补助资金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实际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预拨104.25万元，支付企业和统报人员补助资金102.86万元，剩余资金1.39万元，做到了成本可控。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firstLine="619" w:firstLineChars="200"/>
        <w:textAlignment w:val="auto"/>
        <w:outlineLvl w:val="9"/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6"/>
          <w:sz w:val="32"/>
          <w:szCs w:val="32"/>
          <w:lang w:eastAsia="zh-CN"/>
        </w:rPr>
        <w:t>（四）项目效益情况。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企业入统的主动性及统报人员每月报送数据的积极性提高了。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2023年实现</w:t>
      </w:r>
      <w:r>
        <w:rPr>
          <w:rFonts w:hint="eastAsia" w:ascii="Times New Roman" w:hAnsi="Times New Roman" w:eastAsia="仿宋_GB2312" w:cs="仿宋_GB2312"/>
          <w:b w:val="0"/>
          <w:bCs/>
          <w:spacing w:val="-6"/>
          <w:sz w:val="32"/>
          <w:szCs w:val="32"/>
          <w:highlight w:val="none"/>
          <w:lang w:eastAsia="zh-CN"/>
        </w:rPr>
        <w:t>社会消费品零售总额</w:t>
      </w:r>
      <w:r>
        <w:rPr>
          <w:rFonts w:hint="eastAsia" w:ascii="Times New Roman" w:hAnsi="Times New Roman" w:eastAsia="仿宋_GB2312" w:cs="仿宋_GB2312"/>
          <w:b w:val="0"/>
          <w:bCs/>
          <w:spacing w:val="-6"/>
          <w:sz w:val="32"/>
          <w:szCs w:val="32"/>
          <w:highlight w:val="none"/>
          <w:lang w:val="en-US" w:eastAsia="zh-CN"/>
        </w:rPr>
        <w:t>完成63.65亿元，</w:t>
      </w:r>
      <w:r>
        <w:rPr>
          <w:rFonts w:hint="eastAsia" w:ascii="Times New Roman" w:hAnsi="Times New Roman" w:eastAsia="仿宋_GB2312" w:cs="仿宋_GB2312"/>
          <w:b w:val="0"/>
          <w:bCs/>
          <w:spacing w:val="-6"/>
          <w:sz w:val="32"/>
          <w:szCs w:val="32"/>
          <w:highlight w:val="none"/>
          <w:lang w:eastAsia="zh-CN"/>
        </w:rPr>
        <w:t>同比</w:t>
      </w:r>
      <w:r>
        <w:rPr>
          <w:rFonts w:hint="eastAsia" w:ascii="Times New Roman" w:hAnsi="Times New Roman" w:eastAsia="仿宋_GB2312" w:cs="仿宋_GB2312"/>
          <w:b w:val="0"/>
          <w:bCs/>
          <w:spacing w:val="-6"/>
          <w:sz w:val="32"/>
          <w:szCs w:val="32"/>
          <w:highlight w:val="none"/>
          <w:lang w:val="en-US" w:eastAsia="zh-CN"/>
        </w:rPr>
        <w:t>增长8.1%；服务业增加值完成91.4亿元，</w:t>
      </w:r>
      <w:r>
        <w:rPr>
          <w:rFonts w:hint="eastAsia" w:ascii="Times New Roman" w:hAnsi="Times New Roman" w:eastAsia="仿宋_GB2312" w:cs="仿宋_GB2312"/>
          <w:b w:val="0"/>
          <w:bCs/>
          <w:spacing w:val="-6"/>
          <w:sz w:val="32"/>
          <w:szCs w:val="32"/>
          <w:highlight w:val="none"/>
          <w:lang w:eastAsia="zh-CN"/>
        </w:rPr>
        <w:t>同比</w:t>
      </w:r>
      <w:r>
        <w:rPr>
          <w:rFonts w:hint="eastAsia" w:ascii="Times New Roman" w:hAnsi="Times New Roman" w:eastAsia="仿宋_GB2312" w:cs="仿宋_GB2312"/>
          <w:b w:val="0"/>
          <w:bCs/>
          <w:spacing w:val="-6"/>
          <w:sz w:val="32"/>
          <w:szCs w:val="32"/>
          <w:highlight w:val="none"/>
          <w:lang w:val="en-US" w:eastAsia="zh-CN"/>
        </w:rPr>
        <w:t>增长8.1%。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服务业对全县经济增长的贡献率为</w:t>
      </w:r>
      <w:r>
        <w:rPr>
          <w:rFonts w:hint="eastAsia" w:ascii="Times New Roman" w:hAnsi="Times New Roman" w:eastAsia="仿宋_GB2312" w:cs="仿宋_GB2312"/>
          <w:b w:val="0"/>
          <w:bCs/>
          <w:spacing w:val="-6"/>
          <w:sz w:val="32"/>
          <w:szCs w:val="32"/>
          <w:highlight w:val="none"/>
          <w:lang w:val="en-US" w:eastAsia="zh-CN"/>
        </w:rPr>
        <w:t>58.6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%，拉动经济增长</w:t>
      </w:r>
      <w:r>
        <w:rPr>
          <w:rFonts w:hint="eastAsia" w:ascii="Times New Roman" w:hAnsi="Times New Roman" w:eastAsia="仿宋_GB2312" w:cs="仿宋_GB2312"/>
          <w:b w:val="0"/>
          <w:bCs/>
          <w:spacing w:val="-6"/>
          <w:sz w:val="32"/>
          <w:szCs w:val="32"/>
          <w:highlight w:val="none"/>
          <w:lang w:val="en-US" w:eastAsia="zh-CN"/>
        </w:rPr>
        <w:t>3.5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个百分点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firstLine="616" w:firstLineChars="200"/>
        <w:textAlignment w:val="auto"/>
        <w:outlineLvl w:val="9"/>
        <w:rPr>
          <w:rFonts w:hint="eastAsia" w:ascii="Times New Roman" w:hAnsi="Times New Roman" w:eastAsia="黑体"/>
          <w:spacing w:val="-6"/>
          <w:sz w:val="32"/>
          <w:szCs w:val="32"/>
        </w:rPr>
      </w:pPr>
      <w:r>
        <w:rPr>
          <w:rFonts w:hint="eastAsia" w:ascii="Times New Roman" w:hAnsi="Times New Roman" w:eastAsia="黑体"/>
          <w:spacing w:val="-6"/>
          <w:sz w:val="32"/>
          <w:szCs w:val="32"/>
        </w:rPr>
        <w:t>五、存在主要问题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firstLine="616" w:firstLineChars="200"/>
        <w:textAlignment w:val="auto"/>
        <w:outlineLvl w:val="9"/>
        <w:rPr>
          <w:rFonts w:hint="eastAsia" w:ascii="Times New Roman" w:hAnsi="Times New Roman" w:cs="仿宋_GB2312"/>
          <w:spacing w:val="-6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该项目计划资金211.21万元，财政预拨104.25万元，资金匹配未达到100%，项目资金匹配精度有待提升。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firstLine="616" w:firstLineChars="200"/>
        <w:textAlignment w:val="auto"/>
        <w:outlineLvl w:val="9"/>
        <w:rPr>
          <w:rFonts w:ascii="Times New Roman" w:hAnsi="Times New Roman" w:eastAsia="黑体"/>
          <w:spacing w:val="-6"/>
          <w:sz w:val="32"/>
          <w:szCs w:val="32"/>
        </w:rPr>
      </w:pPr>
      <w:r>
        <w:rPr>
          <w:rFonts w:hint="eastAsia" w:ascii="Times New Roman" w:hAnsi="Times New Roman" w:eastAsia="黑体"/>
          <w:spacing w:val="-6"/>
          <w:sz w:val="32"/>
          <w:szCs w:val="32"/>
        </w:rPr>
        <w:t>六、相关措施建议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6" w:firstLineChars="200"/>
        <w:textAlignment w:val="auto"/>
        <w:rPr>
          <w:rFonts w:hint="eastAsia" w:ascii="Times New Roman" w:hAnsi="Times New Roman" w:eastAsia="FangSong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建议预算下达剩余补助资金，及时兑付给企业。</w:t>
      </w: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spacing w:line="590" w:lineRule="exact"/>
        <w:ind w:firstLine="1560" w:firstLineChars="500"/>
        <w:jc w:val="both"/>
        <w:rPr>
          <w:rFonts w:hint="default" w:ascii="Times New Roman" w:hAnsi="Times New Roman" w:eastAsia="FangSong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spacing w:line="590" w:lineRule="exact"/>
        <w:ind w:firstLine="1560" w:firstLineChars="500"/>
        <w:jc w:val="both"/>
        <w:rPr>
          <w:rFonts w:hint="default" w:ascii="Times New Roman" w:hAnsi="Times New Roman" w:eastAsia="FangSong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spacing w:line="590" w:lineRule="exact"/>
        <w:ind w:firstLine="1560" w:firstLineChars="500"/>
        <w:jc w:val="both"/>
        <w:rPr>
          <w:rFonts w:hint="default" w:ascii="Times New Roman" w:hAnsi="Times New Roman" w:eastAsia="FangSong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right="0" w:rightChars="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 xml:space="preserve">大英县商务和经济合作局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590" w:lineRule="exact"/>
        <w:ind w:right="0"/>
        <w:jc w:val="right"/>
        <w:rPr>
          <w:rFonts w:hint="default" w:ascii="Times New Roman" w:hAnsi="Times New Roman" w:cs="Times New Roman"/>
          <w:spacing w:val="-4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年</w:t>
      </w:r>
      <w:r>
        <w:rPr>
          <w:rFonts w:hint="eastAsia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月</w:t>
      </w:r>
      <w:r>
        <w:rPr>
          <w:rFonts w:hint="eastAsia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 xml:space="preserve">日        </w:t>
      </w:r>
    </w:p>
    <w:sectPr>
      <w:footerReference r:id="rId3" w:type="default"/>
      <w:pgSz w:w="11906" w:h="16838"/>
      <w:pgMar w:top="1928" w:right="1474" w:bottom="1928" w:left="1587" w:header="851" w:footer="992" w:gutter="0"/>
      <w:pgNumType w:fmt="decimal" w:start="2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-483870</wp:posOffset>
              </wp:positionV>
              <wp:extent cx="947420" cy="47942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7420" cy="4794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keepNext w:val="0"/>
                            <w:keepLines w:val="0"/>
                            <w:pageBreakBefore w:val="0"/>
                            <w:widowControl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spacing w:line="590" w:lineRule="exact"/>
                            <w:ind w:left="210" w:leftChars="100" w:right="210" w:rightChars="100" w:firstLine="0" w:firstLineChars="0"/>
                            <w:textAlignment w:val="baseline"/>
                            <w:rPr>
                              <w:rFonts w:hint="default" w:eastAsia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8.1pt;height:37.75pt;width:74.6pt;mso-position-horizontal:outside;mso-position-horizontal-relative:margin;z-index:251659264;mso-width-relative:page;mso-height-relative:page;" filled="f" stroked="f" coordsize="21600,21600" o:gfxdata="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XhMTbNkAAAAJAQAADwAAAAAAAAABACAAAAAiAAAAZHJzL2Rv&#10;d25yZXYueG1sUEsBAhQAFAAAAAgAh07iQLcCEwU5AgAAYQQAAA4AAAAAAAAAAQAgAAAAKA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8"/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spacing w:line="590" w:lineRule="exact"/>
                      <w:ind w:left="210" w:leftChars="100" w:right="210" w:rightChars="100" w:firstLine="0" w:firstLineChars="0"/>
                      <w:textAlignment w:val="baseline"/>
                      <w:rPr>
                        <w:rFonts w:hint="default" w:eastAsia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val="en-US" w:eastAsia="zh-CN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jYmFlYzg3MjgwODU1OWNhYWQyNDBiOWEwZjUwZTgifQ=="/>
  </w:docVars>
  <w:rsids>
    <w:rsidRoot w:val="00000000"/>
    <w:rsid w:val="00AA3CEC"/>
    <w:rsid w:val="01145609"/>
    <w:rsid w:val="01193968"/>
    <w:rsid w:val="01DF6163"/>
    <w:rsid w:val="02A66735"/>
    <w:rsid w:val="031A67DB"/>
    <w:rsid w:val="03A34A01"/>
    <w:rsid w:val="04BC470B"/>
    <w:rsid w:val="04BD4777"/>
    <w:rsid w:val="051C166B"/>
    <w:rsid w:val="05485881"/>
    <w:rsid w:val="055E32F7"/>
    <w:rsid w:val="07D77390"/>
    <w:rsid w:val="096536DF"/>
    <w:rsid w:val="097B59CD"/>
    <w:rsid w:val="0ABD0AEE"/>
    <w:rsid w:val="0AE20526"/>
    <w:rsid w:val="0B974D33"/>
    <w:rsid w:val="0BCE2CA4"/>
    <w:rsid w:val="0DEC10D3"/>
    <w:rsid w:val="0E0D1416"/>
    <w:rsid w:val="0F15307B"/>
    <w:rsid w:val="100B7BD7"/>
    <w:rsid w:val="103F3D25"/>
    <w:rsid w:val="110F6424"/>
    <w:rsid w:val="11875DAA"/>
    <w:rsid w:val="11F8447C"/>
    <w:rsid w:val="12A8795F"/>
    <w:rsid w:val="12F504CF"/>
    <w:rsid w:val="15510782"/>
    <w:rsid w:val="15D82EC7"/>
    <w:rsid w:val="17143815"/>
    <w:rsid w:val="17471E3D"/>
    <w:rsid w:val="174A7237"/>
    <w:rsid w:val="19037FE5"/>
    <w:rsid w:val="19131119"/>
    <w:rsid w:val="193006AE"/>
    <w:rsid w:val="19616ABA"/>
    <w:rsid w:val="1AE33D18"/>
    <w:rsid w:val="1C4032FE"/>
    <w:rsid w:val="1D41732E"/>
    <w:rsid w:val="1D9E78F3"/>
    <w:rsid w:val="1EA21E17"/>
    <w:rsid w:val="1EC458CD"/>
    <w:rsid w:val="1EF06916"/>
    <w:rsid w:val="207B0778"/>
    <w:rsid w:val="207B3599"/>
    <w:rsid w:val="21EB1616"/>
    <w:rsid w:val="236A005D"/>
    <w:rsid w:val="24A361D8"/>
    <w:rsid w:val="252C0F6A"/>
    <w:rsid w:val="25BA1A2C"/>
    <w:rsid w:val="2672725A"/>
    <w:rsid w:val="26AD4B6D"/>
    <w:rsid w:val="27651E6B"/>
    <w:rsid w:val="29431E0C"/>
    <w:rsid w:val="2BBC53B4"/>
    <w:rsid w:val="2C5D5807"/>
    <w:rsid w:val="2D12214D"/>
    <w:rsid w:val="2D834DF9"/>
    <w:rsid w:val="2D9D235F"/>
    <w:rsid w:val="2E29215B"/>
    <w:rsid w:val="2E7208DD"/>
    <w:rsid w:val="2F320885"/>
    <w:rsid w:val="2FE30343"/>
    <w:rsid w:val="30C24D10"/>
    <w:rsid w:val="312E32CE"/>
    <w:rsid w:val="31BC65A2"/>
    <w:rsid w:val="320C5FEA"/>
    <w:rsid w:val="32211AEF"/>
    <w:rsid w:val="32CE6D0B"/>
    <w:rsid w:val="335F00B6"/>
    <w:rsid w:val="33EF143A"/>
    <w:rsid w:val="3464257F"/>
    <w:rsid w:val="347E456C"/>
    <w:rsid w:val="348257DA"/>
    <w:rsid w:val="348477E9"/>
    <w:rsid w:val="355F7EFA"/>
    <w:rsid w:val="36BB1BF3"/>
    <w:rsid w:val="38455ACD"/>
    <w:rsid w:val="39382F3B"/>
    <w:rsid w:val="39767E7C"/>
    <w:rsid w:val="3A345DF9"/>
    <w:rsid w:val="3A405292"/>
    <w:rsid w:val="3A64017E"/>
    <w:rsid w:val="3B31058A"/>
    <w:rsid w:val="3C257287"/>
    <w:rsid w:val="3C850EBF"/>
    <w:rsid w:val="3CB66F99"/>
    <w:rsid w:val="3DA908AC"/>
    <w:rsid w:val="3DE713D4"/>
    <w:rsid w:val="3E3143FD"/>
    <w:rsid w:val="3E391C30"/>
    <w:rsid w:val="4005796A"/>
    <w:rsid w:val="40262D2C"/>
    <w:rsid w:val="40E15AB2"/>
    <w:rsid w:val="4290203A"/>
    <w:rsid w:val="42AF6323"/>
    <w:rsid w:val="42E12896"/>
    <w:rsid w:val="45066278"/>
    <w:rsid w:val="455A490C"/>
    <w:rsid w:val="45823519"/>
    <w:rsid w:val="45B918A8"/>
    <w:rsid w:val="45F1078A"/>
    <w:rsid w:val="46CE7C01"/>
    <w:rsid w:val="480037BE"/>
    <w:rsid w:val="495C2806"/>
    <w:rsid w:val="498A7E02"/>
    <w:rsid w:val="4A6022F2"/>
    <w:rsid w:val="4AC733C6"/>
    <w:rsid w:val="4AE66C9B"/>
    <w:rsid w:val="4BED60EF"/>
    <w:rsid w:val="4C835767"/>
    <w:rsid w:val="4D152177"/>
    <w:rsid w:val="4E8D742E"/>
    <w:rsid w:val="4E9B4950"/>
    <w:rsid w:val="4F8D65A8"/>
    <w:rsid w:val="5054659D"/>
    <w:rsid w:val="51295B34"/>
    <w:rsid w:val="514C537E"/>
    <w:rsid w:val="52C553E8"/>
    <w:rsid w:val="53A75290"/>
    <w:rsid w:val="53DF24DA"/>
    <w:rsid w:val="54204120"/>
    <w:rsid w:val="55EB785C"/>
    <w:rsid w:val="56081147"/>
    <w:rsid w:val="56D13385"/>
    <w:rsid w:val="57362D58"/>
    <w:rsid w:val="57494FF9"/>
    <w:rsid w:val="575651A9"/>
    <w:rsid w:val="59280E6F"/>
    <w:rsid w:val="599E6336"/>
    <w:rsid w:val="5A960A17"/>
    <w:rsid w:val="5ABB5323"/>
    <w:rsid w:val="5AF3622C"/>
    <w:rsid w:val="5B331489"/>
    <w:rsid w:val="5D066D29"/>
    <w:rsid w:val="5D756040"/>
    <w:rsid w:val="5EF05EE3"/>
    <w:rsid w:val="5F12261D"/>
    <w:rsid w:val="5F441D8B"/>
    <w:rsid w:val="5F4B4EC7"/>
    <w:rsid w:val="5FC86518"/>
    <w:rsid w:val="60100FF8"/>
    <w:rsid w:val="601B6F8F"/>
    <w:rsid w:val="60C413D5"/>
    <w:rsid w:val="60E5134B"/>
    <w:rsid w:val="619A2136"/>
    <w:rsid w:val="61BE30C3"/>
    <w:rsid w:val="61D45648"/>
    <w:rsid w:val="62943029"/>
    <w:rsid w:val="63DA0F0F"/>
    <w:rsid w:val="63FD075A"/>
    <w:rsid w:val="6470717E"/>
    <w:rsid w:val="64B045D6"/>
    <w:rsid w:val="66786720"/>
    <w:rsid w:val="67CC2C65"/>
    <w:rsid w:val="699B6D7C"/>
    <w:rsid w:val="69D97992"/>
    <w:rsid w:val="69EC7BB7"/>
    <w:rsid w:val="6A8B2F63"/>
    <w:rsid w:val="6B8005EE"/>
    <w:rsid w:val="6B800DA2"/>
    <w:rsid w:val="6C1402F2"/>
    <w:rsid w:val="6C1A00FB"/>
    <w:rsid w:val="6CEB0F53"/>
    <w:rsid w:val="6E5B49FB"/>
    <w:rsid w:val="6F6E5ACD"/>
    <w:rsid w:val="6FB27894"/>
    <w:rsid w:val="6FDD600F"/>
    <w:rsid w:val="71010E89"/>
    <w:rsid w:val="72347A3D"/>
    <w:rsid w:val="728A58AF"/>
    <w:rsid w:val="72B621DC"/>
    <w:rsid w:val="73ED07EB"/>
    <w:rsid w:val="75267B11"/>
    <w:rsid w:val="758B4081"/>
    <w:rsid w:val="77FE2FC7"/>
    <w:rsid w:val="78620F50"/>
    <w:rsid w:val="787E17C8"/>
    <w:rsid w:val="7B762E74"/>
    <w:rsid w:val="7BEC6BEE"/>
    <w:rsid w:val="7C0C5586"/>
    <w:rsid w:val="7E4E183B"/>
    <w:rsid w:val="7F385010"/>
    <w:rsid w:val="7F3916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20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footer1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Body Text Indent 2"/>
    <w:basedOn w:val="1"/>
    <w:next w:val="1"/>
    <w:qFormat/>
    <w:uiPriority w:val="0"/>
    <w:pPr>
      <w:spacing w:after="120" w:line="480" w:lineRule="auto"/>
      <w:ind w:left="200" w:leftChars="200"/>
    </w:pPr>
    <w:rPr>
      <w:rFonts w:ascii="Calibri" w:hAnsi="Calibri" w:eastAsia="宋体" w:cs="宋体"/>
      <w:sz w:val="21"/>
      <w:szCs w:val="22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5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14">
    <w:name w:val="常用样式（方正仿宋简）"/>
    <w:basedOn w:val="1"/>
    <w:next w:val="1"/>
    <w:autoRedefine/>
    <w:qFormat/>
    <w:uiPriority w:val="0"/>
    <w:pPr>
      <w:spacing w:line="560" w:lineRule="exact"/>
      <w:ind w:firstLine="640" w:firstLineChars="200"/>
    </w:pPr>
    <w:rPr>
      <w:rFonts w:eastAsia="方正仿宋简体"/>
      <w:sz w:val="32"/>
      <w:szCs w:val="21"/>
    </w:rPr>
  </w:style>
  <w:style w:type="paragraph" w:customStyle="1" w:styleId="1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  <w:style w:type="paragraph" w:customStyle="1" w:styleId="16">
    <w:name w:val="章标题"/>
    <w:basedOn w:val="1"/>
    <w:next w:val="1"/>
    <w:autoRedefine/>
    <w:qFormat/>
    <w:uiPriority w:val="99"/>
    <w:pPr>
      <w:spacing w:before="158" w:after="153" w:line="323" w:lineRule="atLeast"/>
      <w:ind w:right="-120"/>
      <w:jc w:val="center"/>
      <w:textAlignment w:val="baseline"/>
    </w:pPr>
    <w:rPr>
      <w:color w:val="FF0000"/>
      <w:sz w:val="18"/>
    </w:rPr>
  </w:style>
  <w:style w:type="paragraph" w:customStyle="1" w:styleId="17">
    <w:name w:val="节标题"/>
    <w:basedOn w:val="1"/>
    <w:next w:val="1"/>
    <w:autoRedefine/>
    <w:qFormat/>
    <w:uiPriority w:val="99"/>
    <w:pPr>
      <w:spacing w:line="289" w:lineRule="atLeast"/>
      <w:jc w:val="center"/>
      <w:textAlignment w:val="baseline"/>
    </w:pPr>
    <w:rPr>
      <w:color w:val="000000"/>
      <w:sz w:val="28"/>
    </w:rPr>
  </w:style>
  <w:style w:type="paragraph" w:customStyle="1" w:styleId="18">
    <w:name w:val="UserStyle_0"/>
    <w:basedOn w:val="19"/>
    <w:autoRedefine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宋体" w:hAnsi="宋体" w:eastAsia="宋体"/>
      <w:kern w:val="2"/>
      <w:sz w:val="21"/>
      <w:szCs w:val="24"/>
      <w:lang w:val="en-US" w:eastAsia="zh-CN" w:bidi="ar-SA"/>
    </w:rPr>
  </w:style>
  <w:style w:type="paragraph" w:customStyle="1" w:styleId="19">
    <w:name w:val="UserStyle_1"/>
    <w:basedOn w:val="1"/>
    <w:autoRedefine/>
    <w:qFormat/>
    <w:uiPriority w:val="0"/>
    <w:pPr>
      <w:spacing w:line="240" w:lineRule="auto"/>
      <w:ind w:firstLine="600" w:firstLineChars="200"/>
      <w:jc w:val="both"/>
      <w:textAlignment w:val="baseline"/>
    </w:pPr>
    <w:rPr>
      <w:rFonts w:ascii="宋体" w:hAnsi="宋体" w:eastAsia="仿宋_GB2312"/>
      <w:kern w:val="2"/>
      <w:sz w:val="30"/>
      <w:szCs w:val="24"/>
      <w:lang w:val="en-US" w:eastAsia="zh-CN" w:bidi="ar-SA"/>
    </w:rPr>
  </w:style>
  <w:style w:type="character" w:customStyle="1" w:styleId="20">
    <w:name w:val="NormalCharacter"/>
    <w:link w:val="1"/>
    <w:autoRedefine/>
    <w:semiHidden/>
    <w:qFormat/>
    <w:uiPriority w:val="0"/>
  </w:style>
  <w:style w:type="table" w:customStyle="1" w:styleId="21">
    <w:name w:val="TableNormal"/>
    <w:autoRedefine/>
    <w:semiHidden/>
    <w:qFormat/>
    <w:uiPriority w:val="0"/>
  </w:style>
  <w:style w:type="paragraph" w:customStyle="1" w:styleId="22">
    <w:name w:val="UserStyle_2"/>
    <w:basedOn w:val="1"/>
    <w:next w:val="1"/>
    <w:autoRedefine/>
    <w:qFormat/>
    <w:uiPriority w:val="0"/>
    <w:pPr>
      <w:spacing w:line="560" w:lineRule="exact"/>
      <w:ind w:firstLine="640" w:firstLineChars="200"/>
      <w:jc w:val="both"/>
      <w:textAlignment w:val="baseline"/>
    </w:pPr>
    <w:rPr>
      <w:rFonts w:ascii="Times New Roman" w:hAnsi="Times New Roman" w:eastAsia="方正仿宋简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1692</Words>
  <Characters>1870</Characters>
  <Lines>0</Lines>
  <Paragraphs>0</Paragraphs>
  <TotalTime>17</TotalTime>
  <ScaleCrop>false</ScaleCrop>
  <LinksUpToDate>false</LinksUpToDate>
  <CharactersWithSpaces>1882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2020-05-14T06:18:00Z</dcterms:created>
  <dc:creator>Administrator</dc:creator>
  <cp:lastModifiedBy>zhulingxi3</cp:lastModifiedBy>
  <cp:lastPrinted>2024-04-08T13:35:00Z</cp:lastPrinted>
  <dcterms:modified xsi:type="dcterms:W3CDTF">2024-05-06T07:23:05Z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B0A1C1F153014B40B68BD10983C78CA6</vt:lpwstr>
  </property>
</Properties>
</file>